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016" w:rsidRDefault="00252016"/>
    <w:p w:rsidR="008342B3" w:rsidRDefault="008342B3"/>
    <w:p w:rsidR="008E16BA" w:rsidRDefault="008342B3">
      <w:pPr>
        <w:rPr>
          <w:rFonts w:ascii="Times New Roman" w:hAnsi="Times New Roman" w:cs="Times New Roman"/>
          <w:b/>
          <w:sz w:val="24"/>
          <w:szCs w:val="24"/>
        </w:rPr>
      </w:pPr>
      <w:r w:rsidRPr="008E16BA">
        <w:rPr>
          <w:rFonts w:ascii="Times New Roman" w:hAnsi="Times New Roman" w:cs="Times New Roman"/>
          <w:b/>
          <w:sz w:val="24"/>
          <w:szCs w:val="24"/>
        </w:rPr>
        <w:t>MODIFICACION O</w:t>
      </w:r>
      <w:r w:rsidR="008E16BA" w:rsidRPr="008E16BA">
        <w:rPr>
          <w:rFonts w:ascii="Times New Roman" w:hAnsi="Times New Roman" w:cs="Times New Roman"/>
          <w:b/>
          <w:sz w:val="24"/>
          <w:szCs w:val="24"/>
        </w:rPr>
        <w:t>RDENANZA IIVTNU</w:t>
      </w:r>
    </w:p>
    <w:p w:rsidR="008E16BA" w:rsidRDefault="006801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Propuesta de la Alcaldía:</w:t>
      </w:r>
    </w:p>
    <w:p w:rsidR="008E16BA" w:rsidRDefault="008E16BA" w:rsidP="008E16BA">
      <w:pPr>
        <w:jc w:val="both"/>
        <w:rPr>
          <w:rFonts w:ascii="Times New Roman" w:hAnsi="Times New Roman" w:cs="Times New Roman"/>
          <w:sz w:val="24"/>
          <w:szCs w:val="24"/>
        </w:rPr>
      </w:pPr>
      <w:r w:rsidRPr="008E16BA">
        <w:rPr>
          <w:rFonts w:ascii="Times New Roman" w:hAnsi="Times New Roman" w:cs="Times New Roman"/>
          <w:sz w:val="24"/>
          <w:szCs w:val="24"/>
        </w:rPr>
        <w:tab/>
        <w:t xml:space="preserve">Modificar la Ordenanza del </w:t>
      </w:r>
      <w:r>
        <w:rPr>
          <w:rFonts w:ascii="Times New Roman" w:hAnsi="Times New Roman" w:cs="Times New Roman"/>
          <w:sz w:val="24"/>
          <w:szCs w:val="24"/>
        </w:rPr>
        <w:t>IMPUESTO SOBRE EL INCREMENTO DE TERRENOS DE NATURALEZA URBANA</w:t>
      </w:r>
      <w:r w:rsidRPr="008E16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para incorporar, </w:t>
      </w:r>
      <w:r w:rsidRPr="008E16BA">
        <w:rPr>
          <w:rFonts w:ascii="Times New Roman" w:hAnsi="Times New Roman" w:cs="Times New Roman"/>
          <w:sz w:val="24"/>
          <w:szCs w:val="24"/>
        </w:rPr>
        <w:t xml:space="preserve">de conformidad con lo previsto en el artículo 108 de la LRHL punto cuarto que establece una bonificación de hasta el 95% de la cuota íntegra del impuesto en las transmisiones de terrenos, y en la transmisión o constitución de derechos reales limitativos del dominio, realizados a título lucrativo POR CAUSA DE MUERTE, a favor de los descendientes y adoptados, los cónyuges  y los ascendientes y adoptantes.  </w:t>
      </w:r>
    </w:p>
    <w:p w:rsidR="008E16BA" w:rsidRDefault="008E16BA" w:rsidP="008E16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A este respecto el artículo 14 de la Ordenanza reguladora el IIVTNU, BONIFICACIONES DE LA CUOTA queda redactado de la siguiente forma:</w:t>
      </w:r>
    </w:p>
    <w:p w:rsidR="008E16BA" w:rsidRDefault="008E16BA" w:rsidP="008E16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Pr="008E16BA">
        <w:rPr>
          <w:rFonts w:ascii="Times New Roman" w:hAnsi="Times New Roman" w:cs="Times New Roman"/>
          <w:b/>
          <w:sz w:val="24"/>
          <w:szCs w:val="24"/>
        </w:rPr>
        <w:t>Artículo 14º</w:t>
      </w:r>
    </w:p>
    <w:p w:rsidR="00A6335F" w:rsidRPr="006801A6" w:rsidRDefault="006801A6" w:rsidP="006801A6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6801A6">
        <w:rPr>
          <w:rFonts w:ascii="Times New Roman" w:hAnsi="Times New Roman" w:cs="Times New Roman"/>
          <w:sz w:val="24"/>
          <w:szCs w:val="24"/>
        </w:rPr>
        <w:t xml:space="preserve">PRIMERO.- </w:t>
      </w:r>
      <w:r w:rsidR="00A6335F" w:rsidRPr="006801A6">
        <w:rPr>
          <w:rFonts w:ascii="Times New Roman" w:hAnsi="Times New Roman" w:cs="Times New Roman"/>
          <w:sz w:val="24"/>
          <w:szCs w:val="24"/>
        </w:rPr>
        <w:t xml:space="preserve">Gozarán de una bonificación de hasta el 99 por ciento las cuotas que se devenguen  en las transmisiones que se realicen con ocasión de las operaciones de fusión o escisión de empresas a que se refiere la Ley 76/1980, de 26 de diciembre, siempre que así se </w:t>
      </w:r>
      <w:proofErr w:type="gramStart"/>
      <w:r w:rsidR="00A6335F" w:rsidRPr="006801A6">
        <w:rPr>
          <w:rFonts w:ascii="Times New Roman" w:hAnsi="Times New Roman" w:cs="Times New Roman"/>
          <w:sz w:val="24"/>
          <w:szCs w:val="24"/>
          <w:lang w:val="es-ES_tradnl"/>
        </w:rPr>
        <w:t>acuerd</w:t>
      </w:r>
      <w:r>
        <w:rPr>
          <w:rFonts w:ascii="Times New Roman" w:hAnsi="Times New Roman" w:cs="Times New Roman"/>
          <w:sz w:val="24"/>
          <w:szCs w:val="24"/>
          <w:lang w:val="es-ES_tradnl"/>
        </w:rPr>
        <w:t>e</w:t>
      </w:r>
      <w:proofErr w:type="gramEnd"/>
      <w:r w:rsidR="00A6335F" w:rsidRPr="006801A6">
        <w:rPr>
          <w:rFonts w:ascii="Times New Roman" w:hAnsi="Times New Roman" w:cs="Times New Roman"/>
          <w:sz w:val="24"/>
          <w:szCs w:val="24"/>
        </w:rPr>
        <w:t xml:space="preserve"> por el Ayuntamiento.</w:t>
      </w:r>
    </w:p>
    <w:p w:rsidR="006801A6" w:rsidRPr="006801A6" w:rsidRDefault="00A6335F" w:rsidP="00A6335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01A6">
        <w:rPr>
          <w:rFonts w:ascii="Times New Roman" w:hAnsi="Times New Roman" w:cs="Times New Roman"/>
          <w:sz w:val="24"/>
          <w:szCs w:val="24"/>
        </w:rPr>
        <w:t xml:space="preserve">    </w:t>
      </w:r>
      <w:r w:rsidR="006801A6" w:rsidRPr="006801A6">
        <w:rPr>
          <w:rFonts w:ascii="Times New Roman" w:hAnsi="Times New Roman" w:cs="Times New Roman"/>
          <w:sz w:val="24"/>
          <w:szCs w:val="24"/>
        </w:rPr>
        <w:t xml:space="preserve"> </w:t>
      </w:r>
      <w:r w:rsidRPr="006801A6">
        <w:rPr>
          <w:rFonts w:ascii="Times New Roman" w:hAnsi="Times New Roman" w:cs="Times New Roman"/>
          <w:sz w:val="24"/>
          <w:szCs w:val="24"/>
        </w:rPr>
        <w:t xml:space="preserve">Si los bienes cuya transmisión dio lugar a la referida bonificación </w:t>
      </w:r>
      <w:r w:rsidR="006801A6" w:rsidRPr="006801A6">
        <w:rPr>
          <w:rFonts w:ascii="Times New Roman" w:hAnsi="Times New Roman" w:cs="Times New Roman"/>
          <w:sz w:val="24"/>
          <w:szCs w:val="24"/>
        </w:rPr>
        <w:t>fuesen           enajenados dentro de los cinco años siguientes a la fecha de fusión o escisión, el importe de dicha bonificación deberá ser satisfecho al Ayuntamiento respectivo, ello sin perjuicio del pago del impuesto que corresponda a la citada enajenación.</w:t>
      </w:r>
    </w:p>
    <w:p w:rsidR="008E16BA" w:rsidRDefault="006801A6" w:rsidP="006801A6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6801A6">
        <w:rPr>
          <w:rFonts w:ascii="Times New Roman" w:hAnsi="Times New Roman" w:cs="Times New Roman"/>
          <w:sz w:val="24"/>
          <w:szCs w:val="24"/>
        </w:rPr>
        <w:t xml:space="preserve">Tal obligación recaerá sobre la persona o Entidad que adquirió los bienes a consecuencia de la operación de fusión o escisión.  </w:t>
      </w:r>
      <w:r w:rsidR="00A6335F" w:rsidRPr="006801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1A6" w:rsidRDefault="006801A6" w:rsidP="006801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SEGUNDO.- E</w:t>
      </w:r>
      <w:r w:rsidRPr="008E16BA">
        <w:rPr>
          <w:rFonts w:ascii="Times New Roman" w:hAnsi="Times New Roman" w:cs="Times New Roman"/>
          <w:sz w:val="24"/>
          <w:szCs w:val="24"/>
        </w:rPr>
        <w:t>stablece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8E16BA">
        <w:rPr>
          <w:rFonts w:ascii="Times New Roman" w:hAnsi="Times New Roman" w:cs="Times New Roman"/>
          <w:sz w:val="24"/>
          <w:szCs w:val="24"/>
        </w:rPr>
        <w:t xml:space="preserve"> una bonificación de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E16BA">
        <w:rPr>
          <w:rFonts w:ascii="Times New Roman" w:hAnsi="Times New Roman" w:cs="Times New Roman"/>
          <w:sz w:val="24"/>
          <w:szCs w:val="24"/>
        </w:rPr>
        <w:t xml:space="preserve"> 95% de la cuota íntegra del impuesto en las transmisiones de terrenos, y en la transmisión o constitución de derechos reales limitativos del dominio, realizados a título lucrativo POR CAUSA DE MUERTE, a favor de los descendientes y adoptados, los cónyuges  y los ascendientes y adoptantes.</w:t>
      </w:r>
    </w:p>
    <w:p w:rsidR="006801A6" w:rsidRDefault="006801A6" w:rsidP="006801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Sellent 30 de septiembre de 2019</w:t>
      </w:r>
    </w:p>
    <w:p w:rsidR="006801A6" w:rsidRDefault="006801A6" w:rsidP="006801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Alcaldesa</w:t>
      </w:r>
    </w:p>
    <w:p w:rsidR="006801A6" w:rsidRDefault="006801A6" w:rsidP="006801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01A6" w:rsidRPr="006801A6" w:rsidRDefault="006801A6" w:rsidP="006801A6">
      <w:pPr>
        <w:ind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8E16BA" w:rsidRPr="008E16BA" w:rsidRDefault="008E16BA" w:rsidP="008E16B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6BA" w:rsidRDefault="008E16BA" w:rsidP="008E16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1AE1" w:rsidRDefault="009A1AE1" w:rsidP="008E16B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A1AE1" w:rsidRDefault="009A1AE1" w:rsidP="008E16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1AE1" w:rsidRDefault="009A1AE1" w:rsidP="008E16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1AE1" w:rsidRDefault="009A1AE1" w:rsidP="008E16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1AE1" w:rsidRPr="009A1AE1" w:rsidRDefault="008E16BA" w:rsidP="009A1AE1">
      <w:pPr>
        <w:pStyle w:val="Ttulo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es-ES_tradnl" w:eastAsia="es-ES"/>
        </w:rPr>
      </w:pPr>
      <w:r w:rsidRPr="008E16BA">
        <w:rPr>
          <w:rFonts w:ascii="Times New Roman" w:hAnsi="Times New Roman" w:cs="Times New Roman"/>
          <w:sz w:val="24"/>
          <w:szCs w:val="24"/>
        </w:rPr>
        <w:t xml:space="preserve">  </w:t>
      </w:r>
      <w:r w:rsidR="009A1AE1" w:rsidRPr="009A1AE1">
        <w:rPr>
          <w:rFonts w:ascii="Times New Roman" w:eastAsia="Times New Roman" w:hAnsi="Times New Roman" w:cs="Times New Roman"/>
          <w:color w:val="auto"/>
          <w:sz w:val="24"/>
          <w:szCs w:val="24"/>
          <w:lang w:val="es-ES_tradnl" w:eastAsia="es-ES"/>
        </w:rPr>
        <w:t>EDICTO</w:t>
      </w:r>
    </w:p>
    <w:p w:rsidR="009A1AE1" w:rsidRPr="009A1AE1" w:rsidRDefault="009A1AE1" w:rsidP="009A1AE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9A1AE1" w:rsidRDefault="009A1AE1" w:rsidP="009A1AE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9A1AE1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ab/>
        <w:t>El Ayuntamiento Pleno, en sesión de 2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3</w:t>
      </w:r>
      <w:r w:rsidRPr="009A1AE1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octubre</w:t>
      </w:r>
      <w:r w:rsidRPr="009A1AE1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de 20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1</w:t>
      </w:r>
      <w:r w:rsidRPr="009A1AE1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9, aprobó provisionalmente 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la modificación de la Ordenanza reguladora del Impuesto sobre Incremento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Tererenos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de Naturaleza Urbana.</w:t>
      </w:r>
    </w:p>
    <w:p w:rsidR="009A1AE1" w:rsidRPr="009A1AE1" w:rsidRDefault="009A1AE1" w:rsidP="009A1AE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9A1AE1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</w:t>
      </w:r>
    </w:p>
    <w:p w:rsidR="009A1AE1" w:rsidRPr="009A1AE1" w:rsidRDefault="009A1AE1" w:rsidP="009A1AE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9A1AE1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Lo que se hace público  por plazo de treinta días, desde de su publicación en el Boletín Oficial de </w:t>
      </w:r>
      <w:smartTag w:uri="urn:schemas-microsoft-com:office:smarttags" w:element="PersonName">
        <w:smartTagPr>
          <w:attr w:name="ProductID" w:val="la Provincia"/>
        </w:smartTagPr>
        <w:r w:rsidRPr="009A1AE1">
          <w:rPr>
            <w:rFonts w:ascii="Times New Roman" w:eastAsia="Times New Roman" w:hAnsi="Times New Roman" w:cs="Times New Roman"/>
            <w:sz w:val="24"/>
            <w:szCs w:val="24"/>
            <w:lang w:val="es-ES_tradnl" w:eastAsia="es-ES"/>
          </w:rPr>
          <w:t>la Provincia</w:t>
        </w:r>
      </w:smartTag>
      <w:r w:rsidRPr="009A1AE1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, a efectos de lo dispuesto en el artículo 49 de  </w:t>
      </w:r>
      <w:smartTag w:uri="urn:schemas-microsoft-com:office:smarttags" w:element="PersonName">
        <w:smartTagPr>
          <w:attr w:name="ProductID" w:val="la Ley"/>
        </w:smartTagPr>
        <w:r w:rsidRPr="009A1AE1">
          <w:rPr>
            <w:rFonts w:ascii="Times New Roman" w:eastAsia="Times New Roman" w:hAnsi="Times New Roman" w:cs="Times New Roman"/>
            <w:sz w:val="24"/>
            <w:szCs w:val="24"/>
            <w:lang w:val="es-ES_tradnl" w:eastAsia="es-ES"/>
          </w:rPr>
          <w:t>la Ley</w:t>
        </w:r>
      </w:smartTag>
      <w:r w:rsidRPr="009A1AE1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7/1985, de 2 de abril, Reguladora de las Bases de Régimen Local, para que los interesados  puedan presentar  las reclamaciones que estimen pertinentes.</w:t>
      </w:r>
    </w:p>
    <w:p w:rsidR="009A1AE1" w:rsidRPr="009A1AE1" w:rsidRDefault="009A1AE1" w:rsidP="009A1AE1">
      <w:pPr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9A1AE1" w:rsidRPr="009A1AE1" w:rsidRDefault="009A1AE1" w:rsidP="009A1AE1">
      <w:pPr>
        <w:autoSpaceDE w:val="0"/>
        <w:autoSpaceDN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  <w:r w:rsidRPr="009A1AE1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Sellent, </w:t>
      </w:r>
      <w:r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4</w:t>
      </w:r>
      <w:r w:rsidRPr="009A1AE1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 de </w:t>
      </w:r>
      <w:proofErr w:type="spellStart"/>
      <w:r w:rsidRPr="009A1AE1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noviembre</w:t>
      </w:r>
      <w:proofErr w:type="spellEnd"/>
      <w:r w:rsidRPr="009A1AE1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 de 20</w:t>
      </w:r>
      <w:r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19</w:t>
      </w:r>
      <w:r w:rsidRPr="009A1AE1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.</w:t>
      </w:r>
    </w:p>
    <w:p w:rsidR="009A1AE1" w:rsidRPr="009A1AE1" w:rsidRDefault="009A1AE1" w:rsidP="009A1AE1">
      <w:pPr>
        <w:keepNext/>
        <w:autoSpaceDE w:val="0"/>
        <w:autoSpaceDN w:val="0"/>
        <w:spacing w:after="0" w:line="240" w:lineRule="auto"/>
        <w:ind w:firstLine="360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La</w:t>
      </w:r>
      <w:r w:rsidRPr="009A1AE1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Alcalde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sa</w:t>
      </w:r>
    </w:p>
    <w:p w:rsidR="009A1AE1" w:rsidRPr="009A1AE1" w:rsidRDefault="009A1AE1" w:rsidP="009A1AE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8E16BA" w:rsidRPr="008E16BA" w:rsidRDefault="008E16BA" w:rsidP="008E16B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E16BA" w:rsidRPr="008E16BA" w:rsidSect="008625CE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0592B"/>
    <w:multiLevelType w:val="hybridMultilevel"/>
    <w:tmpl w:val="180E26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57AFA"/>
    <w:multiLevelType w:val="hybridMultilevel"/>
    <w:tmpl w:val="62769E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A6114"/>
    <w:multiLevelType w:val="hybridMultilevel"/>
    <w:tmpl w:val="D79E7888"/>
    <w:lvl w:ilvl="0" w:tplc="CDEC63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131"/>
    <w:rsid w:val="00252016"/>
    <w:rsid w:val="006801A6"/>
    <w:rsid w:val="008342B3"/>
    <w:rsid w:val="008625CE"/>
    <w:rsid w:val="008E16BA"/>
    <w:rsid w:val="009A1AE1"/>
    <w:rsid w:val="00A6335F"/>
    <w:rsid w:val="00DE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A1A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335F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A1A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A1A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335F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A1A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376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</dc:creator>
  <cp:keywords/>
  <dc:description/>
  <cp:lastModifiedBy>Usuari</cp:lastModifiedBy>
  <cp:revision>6</cp:revision>
  <cp:lastPrinted>2019-09-30T11:08:00Z</cp:lastPrinted>
  <dcterms:created xsi:type="dcterms:W3CDTF">2019-09-30T10:40:00Z</dcterms:created>
  <dcterms:modified xsi:type="dcterms:W3CDTF">2019-11-04T11:53:00Z</dcterms:modified>
</cp:coreProperties>
</file>